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9"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410"/>
      </w:tblGrid>
      <w:tr w:rsidR="00C175EF" w:rsidRPr="00C40B99" w:rsidTr="006C4D71">
        <w:trPr>
          <w:trHeight w:hRule="exact" w:val="574"/>
        </w:trPr>
        <w:tc>
          <w:tcPr>
            <w:tcW w:w="9689"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116F5D">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7F5427" w:rsidRPr="007F5427">
              <w:rPr>
                <w:rFonts w:eastAsia="Times New Roman" w:cs="Times New Roman"/>
                <w:b/>
                <w:sz w:val="24"/>
                <w:szCs w:val="24"/>
                <w:lang w:val="de-DE"/>
              </w:rPr>
              <w:t>Kognitive Neurowissenschaften II</w:t>
            </w:r>
          </w:p>
        </w:tc>
      </w:tr>
      <w:tr w:rsidR="000212C3" w:rsidTr="006C4D71">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0212C3" w:rsidP="000212C3">
            <w:pPr>
              <w:pStyle w:val="KeinLeerraum"/>
              <w:ind w:left="57" w:right="57"/>
              <w:jc w:val="center"/>
              <w:rPr>
                <w:lang w:val="de-DE"/>
              </w:rPr>
            </w:pPr>
            <w:r w:rsidRPr="000212C3">
              <w:rPr>
                <w:lang w:val="de-DE"/>
              </w:rPr>
              <w:t>M-Neuro-B</w:t>
            </w:r>
            <w:r w:rsidR="007F5427">
              <w:rPr>
                <w:lang w:val="de-DE"/>
              </w:rPr>
              <w:t>15</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0212C3" w:rsidP="000212C3">
            <w:pPr>
              <w:pStyle w:val="KeinLeerraum"/>
              <w:ind w:left="57" w:right="57"/>
              <w:jc w:val="center"/>
            </w:pPr>
            <w:r>
              <w:t>180</w:t>
            </w:r>
            <w:r w:rsidR="00CF6E6F">
              <w:t>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0212C3" w:rsidP="000212C3">
            <w:pPr>
              <w:pStyle w:val="KeinLeerraum"/>
              <w:ind w:right="57"/>
              <w:jc w:val="center"/>
            </w:pPr>
            <w:r>
              <w:t>6</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9A6549" w:rsidP="000212C3">
            <w:pPr>
              <w:pStyle w:val="KeinLeerraum"/>
              <w:ind w:right="57"/>
              <w:jc w:val="center"/>
            </w:pPr>
            <w:r>
              <w:t>5</w:t>
            </w:r>
            <w:r w:rsidR="000212C3">
              <w:t>.Fachsemester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CF6E6F" w:rsidRDefault="000212C3" w:rsidP="000212C3">
            <w:pPr>
              <w:pStyle w:val="KeinLeerraum"/>
              <w:ind w:left="57" w:right="57"/>
              <w:rPr>
                <w:b/>
                <w:lang w:val="de-DE"/>
              </w:rPr>
            </w:pPr>
            <w:r w:rsidRPr="00CF6E6F">
              <w:rPr>
                <w:b/>
                <w:lang w:val="de-DE"/>
              </w:rPr>
              <w:t>Häufigkeit des Angebots</w:t>
            </w:r>
          </w:p>
          <w:p w:rsidR="000212C3" w:rsidRPr="00CF6E6F" w:rsidRDefault="000212C3" w:rsidP="000212C3">
            <w:pPr>
              <w:pStyle w:val="KeinLeerraum"/>
              <w:ind w:left="57" w:right="57"/>
              <w:jc w:val="center"/>
              <w:rPr>
                <w:lang w:val="de-DE"/>
              </w:rPr>
            </w:pPr>
            <w:r w:rsidRPr="00CF6E6F">
              <w:rPr>
                <w:lang w:val="de-DE"/>
              </w:rPr>
              <w:t>WS</w:t>
            </w:r>
          </w:p>
        </w:tc>
        <w:tc>
          <w:tcPr>
            <w:tcW w:w="2410"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proofErr w:type="spellStart"/>
            <w:r>
              <w:rPr>
                <w:b/>
              </w:rPr>
              <w:t>Dauer</w:t>
            </w:r>
            <w:proofErr w:type="spellEnd"/>
          </w:p>
          <w:p w:rsidR="000212C3" w:rsidRDefault="000212C3" w:rsidP="00116F5D">
            <w:pPr>
              <w:pStyle w:val="KeinLeerraum"/>
              <w:ind w:left="57" w:right="57"/>
            </w:pPr>
          </w:p>
          <w:p w:rsidR="000212C3" w:rsidRDefault="000212C3" w:rsidP="000212C3">
            <w:pPr>
              <w:pStyle w:val="KeinLeerraum"/>
              <w:ind w:left="57" w:right="57"/>
              <w:jc w:val="center"/>
            </w:pPr>
            <w:proofErr w:type="spellStart"/>
            <w:r>
              <w:t>ein</w:t>
            </w:r>
            <w:proofErr w:type="spellEnd"/>
            <w:r>
              <w:t xml:space="preserve"> Semester</w:t>
            </w:r>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9A6549" w:rsidTr="009A6549">
        <w:trPr>
          <w:trHeight w:hRule="exact" w:val="1423"/>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bookmarkStart w:id="0" w:name="_GoBack" w:colFirst="3" w:colLast="4"/>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C40B99" w:rsidRDefault="00F73FC1" w:rsidP="00CE26F3">
            <w:pPr>
              <w:pStyle w:val="KeinLeerraum"/>
              <w:spacing w:line="276" w:lineRule="auto"/>
              <w:ind w:left="57" w:right="57"/>
              <w:rPr>
                <w:b/>
              </w:rPr>
            </w:pPr>
            <w:proofErr w:type="spellStart"/>
            <w:r w:rsidRPr="00C40B99">
              <w:rPr>
                <w:b/>
              </w:rPr>
              <w:t>Lehrveranstaltungen</w:t>
            </w:r>
            <w:proofErr w:type="spellEnd"/>
          </w:p>
          <w:p w:rsidR="00D4372E" w:rsidRPr="00C40B99" w:rsidRDefault="00F73FC1" w:rsidP="00CE26F3">
            <w:pPr>
              <w:pStyle w:val="KeinLeerraum"/>
              <w:numPr>
                <w:ilvl w:val="0"/>
                <w:numId w:val="1"/>
              </w:numPr>
              <w:spacing w:line="276" w:lineRule="auto"/>
              <w:ind w:right="57"/>
            </w:pPr>
            <w:proofErr w:type="spellStart"/>
            <w:r w:rsidRPr="00C40B99">
              <w:t>Vorlesung</w:t>
            </w:r>
            <w:proofErr w:type="spellEnd"/>
            <w:r w:rsidR="008B2C6B" w:rsidRPr="00C40B99">
              <w:t xml:space="preserve"> (VL)</w:t>
            </w:r>
          </w:p>
          <w:p w:rsidR="009A6549" w:rsidRPr="00C40B99" w:rsidRDefault="009A6549" w:rsidP="00CE26F3">
            <w:pPr>
              <w:pStyle w:val="KeinLeerraum"/>
              <w:numPr>
                <w:ilvl w:val="0"/>
                <w:numId w:val="1"/>
              </w:numPr>
              <w:spacing w:line="276" w:lineRule="auto"/>
              <w:ind w:right="57"/>
            </w:pPr>
            <w:proofErr w:type="spellStart"/>
            <w:r w:rsidRPr="00C40B99">
              <w:t>Übung</w:t>
            </w:r>
            <w:proofErr w:type="spellEnd"/>
          </w:p>
          <w:p w:rsidR="00D4372E" w:rsidRPr="00C40B99" w:rsidRDefault="00D4372E" w:rsidP="009A6549">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C40B99" w:rsidRDefault="00F73FC1" w:rsidP="00CE26F3">
            <w:pPr>
              <w:pStyle w:val="KeinLeerraum"/>
              <w:spacing w:line="276" w:lineRule="auto"/>
              <w:ind w:left="57" w:right="57"/>
              <w:rPr>
                <w:b/>
              </w:rPr>
            </w:pPr>
            <w:proofErr w:type="spellStart"/>
            <w:r w:rsidRPr="00C40B99">
              <w:rPr>
                <w:b/>
              </w:rPr>
              <w:t>Kontaktzeit</w:t>
            </w:r>
            <w:proofErr w:type="spellEnd"/>
          </w:p>
          <w:p w:rsidR="00D4372E" w:rsidRPr="00C40B99" w:rsidRDefault="00707417" w:rsidP="009A6549">
            <w:pPr>
              <w:pStyle w:val="KeinLeerraum"/>
              <w:numPr>
                <w:ilvl w:val="0"/>
                <w:numId w:val="2"/>
              </w:numPr>
              <w:spacing w:line="276" w:lineRule="auto"/>
              <w:ind w:right="57"/>
            </w:pPr>
            <w:r w:rsidRPr="00C40B99">
              <w:t>8</w:t>
            </w:r>
            <w:r w:rsidR="00D4372E" w:rsidRPr="00C40B99">
              <w:t>h</w:t>
            </w:r>
          </w:p>
          <w:p w:rsidR="009A6549" w:rsidRPr="00C40B99" w:rsidRDefault="00707417" w:rsidP="009A6549">
            <w:pPr>
              <w:pStyle w:val="KeinLeerraum"/>
              <w:numPr>
                <w:ilvl w:val="0"/>
                <w:numId w:val="2"/>
              </w:numPr>
              <w:spacing w:line="276" w:lineRule="auto"/>
              <w:ind w:right="57"/>
            </w:pPr>
            <w:r w:rsidRPr="00C40B99">
              <w:t>4h</w:t>
            </w:r>
          </w:p>
          <w:p w:rsidR="009A6549" w:rsidRPr="00C40B99" w:rsidRDefault="009A6549" w:rsidP="009A6549">
            <w:pPr>
              <w:pStyle w:val="KeinLeerraum"/>
              <w:spacing w:line="276" w:lineRule="auto"/>
              <w:ind w:right="57"/>
            </w:pPr>
          </w:p>
          <w:p w:rsidR="00D4372E" w:rsidRPr="00C40B99" w:rsidRDefault="00D4372E" w:rsidP="009A6549">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C40B99" w:rsidRDefault="00F73FC1" w:rsidP="00CE26F3">
            <w:pPr>
              <w:widowControl/>
              <w:spacing w:after="0"/>
              <w:ind w:left="57" w:right="57"/>
              <w:rPr>
                <w:b/>
              </w:rPr>
            </w:pPr>
            <w:proofErr w:type="spellStart"/>
            <w:r w:rsidRPr="00C40B99">
              <w:rPr>
                <w:b/>
              </w:rPr>
              <w:t>Selbststudium</w:t>
            </w:r>
            <w:proofErr w:type="spellEnd"/>
          </w:p>
          <w:p w:rsidR="00D4372E" w:rsidRPr="00C40B99" w:rsidRDefault="00C40B99" w:rsidP="00D4372E">
            <w:pPr>
              <w:pStyle w:val="KeinLeerraum"/>
              <w:ind w:left="57" w:right="57"/>
            </w:pPr>
            <w:r w:rsidRPr="00C40B99">
              <w:t>168</w:t>
            </w:r>
            <w:r w:rsidR="008B2C6B" w:rsidRPr="00C40B99">
              <w:t xml:space="preserve">h </w:t>
            </w:r>
            <w:proofErr w:type="spellStart"/>
            <w:r w:rsidR="008B2C6B" w:rsidRPr="00C40B99">
              <w:t>Vor</w:t>
            </w:r>
            <w:proofErr w:type="spellEnd"/>
            <w:r w:rsidR="008B2C6B" w:rsidRPr="00C40B99">
              <w:t xml:space="preserve">- und </w:t>
            </w:r>
            <w:proofErr w:type="spellStart"/>
            <w:r w:rsidR="008B2C6B" w:rsidRPr="00C40B99">
              <w:t>Nach</w:t>
            </w:r>
            <w:proofErr w:type="spellEnd"/>
            <w:r w:rsidR="008B2C6B" w:rsidRPr="00C40B99">
              <w:t>-</w:t>
            </w:r>
          </w:p>
          <w:p w:rsidR="008B2C6B" w:rsidRPr="00C40B99" w:rsidRDefault="008B2C6B" w:rsidP="009A6549">
            <w:pPr>
              <w:pStyle w:val="KeinLeerraum"/>
              <w:ind w:left="57" w:right="57"/>
              <w:rPr>
                <w:lang w:val="de-DE"/>
              </w:rPr>
            </w:pPr>
            <w:proofErr w:type="spellStart"/>
            <w:r w:rsidRPr="00C40B99">
              <w:rPr>
                <w:lang w:val="de-DE"/>
              </w:rPr>
              <w:t>bereitung</w:t>
            </w:r>
            <w:proofErr w:type="spellEnd"/>
            <w:r w:rsidRPr="00C40B99">
              <w:rPr>
                <w:lang w:val="de-DE"/>
              </w:rPr>
              <w:t xml:space="preserve"> von VL</w:t>
            </w:r>
            <w:r w:rsidR="009A6549" w:rsidRPr="00C40B99">
              <w:rPr>
                <w:lang w:val="de-DE"/>
              </w:rPr>
              <w:t>, Übung</w:t>
            </w:r>
            <w:r w:rsidRPr="00C40B99">
              <w:rPr>
                <w:lang w:val="de-DE"/>
              </w:rPr>
              <w:t xml:space="preserve"> und</w:t>
            </w:r>
            <w:r w:rsidR="009A6549" w:rsidRPr="00C40B99">
              <w:rPr>
                <w:lang w:val="de-DE"/>
              </w:rPr>
              <w:t xml:space="preserve"> </w:t>
            </w:r>
            <w:r w:rsidRPr="00C40B99">
              <w:rPr>
                <w:lang w:val="de-DE"/>
              </w:rPr>
              <w:t>Klausurvorbereitung</w:t>
            </w:r>
          </w:p>
        </w:tc>
        <w:tc>
          <w:tcPr>
            <w:tcW w:w="2835" w:type="dxa"/>
            <w:gridSpan w:val="2"/>
            <w:tcBorders>
              <w:top w:val="single" w:sz="4" w:space="0" w:color="000000"/>
              <w:left w:val="single" w:sz="4" w:space="0" w:color="000000"/>
              <w:bottom w:val="single" w:sz="4" w:space="0" w:color="000000"/>
              <w:right w:val="single" w:sz="4" w:space="0" w:color="000000"/>
            </w:tcBorders>
          </w:tcPr>
          <w:p w:rsidR="00D4372E" w:rsidRPr="00C40B99" w:rsidRDefault="00F73FC1" w:rsidP="00CE26F3">
            <w:pPr>
              <w:pStyle w:val="KeinLeerraum"/>
              <w:spacing w:line="276" w:lineRule="auto"/>
              <w:ind w:left="57" w:right="57"/>
              <w:rPr>
                <w:b/>
                <w:lang w:val="de-DE"/>
              </w:rPr>
            </w:pPr>
            <w:r w:rsidRPr="00C40B99">
              <w:rPr>
                <w:b/>
                <w:lang w:val="de-DE"/>
              </w:rPr>
              <w:t>Geplante Gruppengröße*</w:t>
            </w:r>
          </w:p>
          <w:p w:rsidR="00D4372E" w:rsidRPr="00C40B99" w:rsidRDefault="008B2C6B" w:rsidP="009A6549">
            <w:pPr>
              <w:pStyle w:val="KeinLeerraum"/>
              <w:numPr>
                <w:ilvl w:val="0"/>
                <w:numId w:val="3"/>
              </w:numPr>
              <w:spacing w:line="276" w:lineRule="auto"/>
              <w:ind w:right="57"/>
              <w:rPr>
                <w:lang w:val="de-DE"/>
              </w:rPr>
            </w:pPr>
            <w:r w:rsidRPr="00C40B99">
              <w:rPr>
                <w:lang w:val="de-DE"/>
              </w:rPr>
              <w:t xml:space="preserve">ca. </w:t>
            </w:r>
            <w:r w:rsidR="009A6549" w:rsidRPr="00C40B99">
              <w:rPr>
                <w:lang w:val="de-DE"/>
              </w:rPr>
              <w:t>18</w:t>
            </w:r>
            <w:r w:rsidRPr="00C40B99">
              <w:rPr>
                <w:lang w:val="de-DE"/>
              </w:rPr>
              <w:t xml:space="preserve"> Studierende</w:t>
            </w:r>
          </w:p>
          <w:p w:rsidR="009A6549" w:rsidRPr="00C40B99" w:rsidRDefault="00707417" w:rsidP="009A6549">
            <w:pPr>
              <w:pStyle w:val="KeinLeerraum"/>
              <w:numPr>
                <w:ilvl w:val="0"/>
                <w:numId w:val="3"/>
              </w:numPr>
              <w:spacing w:line="276" w:lineRule="auto"/>
              <w:ind w:right="57"/>
            </w:pPr>
            <w:r w:rsidRPr="00C40B99">
              <w:t xml:space="preserve">ca. 18 </w:t>
            </w:r>
            <w:proofErr w:type="spellStart"/>
            <w:r w:rsidRPr="00C40B99">
              <w:t>Studierende</w:t>
            </w:r>
            <w:proofErr w:type="spellEnd"/>
          </w:p>
          <w:p w:rsidR="009A6549" w:rsidRPr="00C40B99" w:rsidRDefault="009A6549" w:rsidP="009A6549">
            <w:pPr>
              <w:pStyle w:val="KeinLeerraum"/>
              <w:spacing w:line="276" w:lineRule="auto"/>
              <w:ind w:left="417" w:right="57"/>
            </w:pPr>
          </w:p>
          <w:p w:rsidR="00D4372E" w:rsidRPr="00C40B99" w:rsidRDefault="00D4372E" w:rsidP="009A6549">
            <w:pPr>
              <w:pStyle w:val="KeinLeerraum"/>
              <w:spacing w:line="276" w:lineRule="auto"/>
              <w:ind w:left="417" w:right="57"/>
            </w:pPr>
          </w:p>
        </w:tc>
      </w:tr>
      <w:bookmarkEnd w:id="0"/>
      <w:tr w:rsidR="00B160A2" w:rsidRPr="009A6549" w:rsidTr="009A6549">
        <w:trPr>
          <w:trHeight w:hRule="exact" w:val="2407"/>
        </w:trPr>
        <w:tc>
          <w:tcPr>
            <w:tcW w:w="475" w:type="dxa"/>
            <w:tcBorders>
              <w:top w:val="single" w:sz="4" w:space="0" w:color="000000"/>
              <w:left w:val="single" w:sz="4" w:space="0" w:color="000000"/>
              <w:bottom w:val="single" w:sz="4" w:space="0" w:color="000000"/>
              <w:right w:val="single" w:sz="4" w:space="0" w:color="000000"/>
            </w:tcBorders>
          </w:tcPr>
          <w:p w:rsidR="00B160A2" w:rsidRPr="00707417" w:rsidRDefault="00B160A2" w:rsidP="00116F5D">
            <w:pPr>
              <w:pStyle w:val="KeinLeerraum"/>
              <w:ind w:left="57" w:right="57"/>
              <w:rPr>
                <w:rFonts w:eastAsia="Arial Narrow" w:cs="Arial Narrow"/>
              </w:rPr>
            </w:pPr>
            <w:r w:rsidRPr="00707417">
              <w:rPr>
                <w:rFonts w:eastAsia="Arial Narrow" w:cs="Arial Narrow"/>
              </w:rPr>
              <w:t>2</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707417" w:rsidRDefault="00F73FC1" w:rsidP="00CE26F3">
            <w:pPr>
              <w:pStyle w:val="KeinLeerraum"/>
              <w:spacing w:line="276" w:lineRule="auto"/>
              <w:ind w:left="57" w:right="57"/>
              <w:rPr>
                <w:b/>
              </w:rPr>
            </w:pPr>
            <w:proofErr w:type="spellStart"/>
            <w:r w:rsidRPr="00707417">
              <w:rPr>
                <w:b/>
              </w:rPr>
              <w:t>Lernergebnisse</w:t>
            </w:r>
            <w:proofErr w:type="spellEnd"/>
            <w:r w:rsidRPr="00707417">
              <w:rPr>
                <w:b/>
              </w:rPr>
              <w:t xml:space="preserve"> / </w:t>
            </w:r>
            <w:proofErr w:type="spellStart"/>
            <w:r w:rsidRPr="00707417">
              <w:rPr>
                <w:b/>
              </w:rPr>
              <w:t>Kompetenzen</w:t>
            </w:r>
            <w:proofErr w:type="spellEnd"/>
          </w:p>
          <w:p w:rsidR="00F73FC1" w:rsidRPr="009A6549" w:rsidRDefault="009A6549" w:rsidP="009A6549">
            <w:pPr>
              <w:pStyle w:val="KeinLeerraum"/>
              <w:ind w:left="57" w:right="57"/>
            </w:pPr>
            <w:r w:rsidRPr="009A6549">
              <w:t>In this course an introduction is given in the field of learning and memory. First, an overview is given of the various sub-divisions of processes of the memory system. With respect to the topic learning, the different forms of learning principles will be presented. After the introduction of the various aspects of learning and memory the neurobiology of learning and memory will be discussed. Here the emphasis is on the role of the hippocampus and its distinctive role in memory consolidation. Further, attention will be given to Long-Term Potentiation (LTP) as a physiological model of memory consolidation. The role of acetylcholine in relation to learning and memory will also be discussed.</w:t>
            </w:r>
          </w:p>
        </w:tc>
      </w:tr>
      <w:tr w:rsidR="00B160A2" w:rsidRPr="002B1D4B" w:rsidTr="009A6549">
        <w:trPr>
          <w:trHeight w:hRule="exact" w:val="2272"/>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210884" w:rsidRDefault="00F73FC1" w:rsidP="00F73FC1">
            <w:pPr>
              <w:pStyle w:val="KeinLeerraum"/>
              <w:spacing w:line="276" w:lineRule="auto"/>
              <w:ind w:left="57" w:right="57"/>
              <w:rPr>
                <w:b/>
                <w:lang w:val="de-DE"/>
              </w:rPr>
            </w:pPr>
            <w:r w:rsidRPr="00210884">
              <w:rPr>
                <w:b/>
                <w:lang w:val="de-DE"/>
              </w:rPr>
              <w:t>Themenschwerpunkte</w:t>
            </w:r>
          </w:p>
          <w:p w:rsidR="009A6549" w:rsidRPr="009A6549" w:rsidRDefault="009A6549" w:rsidP="009A6549">
            <w:pPr>
              <w:pStyle w:val="KeinLeerraum"/>
              <w:numPr>
                <w:ilvl w:val="0"/>
                <w:numId w:val="9"/>
              </w:numPr>
              <w:ind w:right="57"/>
              <w:rPr>
                <w:lang w:val="de-DE"/>
              </w:rPr>
            </w:pPr>
            <w:r w:rsidRPr="009A6549">
              <w:rPr>
                <w:lang w:val="de-DE"/>
              </w:rPr>
              <w:t>Lernen und Gedächtnis</w:t>
            </w:r>
          </w:p>
          <w:p w:rsidR="009A6549" w:rsidRPr="009A6549" w:rsidRDefault="009A6549" w:rsidP="009A6549">
            <w:pPr>
              <w:pStyle w:val="KeinLeerraum"/>
              <w:numPr>
                <w:ilvl w:val="0"/>
                <w:numId w:val="9"/>
              </w:numPr>
              <w:ind w:right="57"/>
              <w:rPr>
                <w:lang w:val="de-DE"/>
              </w:rPr>
            </w:pPr>
            <w:r w:rsidRPr="009A6549">
              <w:rPr>
                <w:lang w:val="de-DE"/>
              </w:rPr>
              <w:t>Formen des Lernens</w:t>
            </w:r>
          </w:p>
          <w:p w:rsidR="009A6549" w:rsidRPr="009A6549" w:rsidRDefault="009A6549" w:rsidP="009A6549">
            <w:pPr>
              <w:pStyle w:val="KeinLeerraum"/>
              <w:numPr>
                <w:ilvl w:val="0"/>
                <w:numId w:val="9"/>
              </w:numPr>
              <w:ind w:right="57"/>
              <w:rPr>
                <w:lang w:val="de-DE"/>
              </w:rPr>
            </w:pPr>
            <w:r w:rsidRPr="009A6549">
              <w:rPr>
                <w:lang w:val="de-DE"/>
              </w:rPr>
              <w:t>Hippocampus</w:t>
            </w:r>
          </w:p>
          <w:p w:rsidR="009A6549" w:rsidRPr="009A6549" w:rsidRDefault="009A6549" w:rsidP="009A6549">
            <w:pPr>
              <w:pStyle w:val="KeinLeerraum"/>
              <w:numPr>
                <w:ilvl w:val="0"/>
                <w:numId w:val="9"/>
              </w:numPr>
              <w:ind w:right="57"/>
              <w:rPr>
                <w:lang w:val="de-DE"/>
              </w:rPr>
            </w:pPr>
            <w:r w:rsidRPr="009A6549">
              <w:rPr>
                <w:lang w:val="de-DE"/>
              </w:rPr>
              <w:t>Langzeitpotenzierung (LTP)</w:t>
            </w:r>
          </w:p>
          <w:p w:rsidR="00F73FC1" w:rsidRPr="00F73FC1" w:rsidRDefault="009A6549" w:rsidP="009A6549">
            <w:pPr>
              <w:pStyle w:val="KeinLeerraum"/>
              <w:numPr>
                <w:ilvl w:val="0"/>
                <w:numId w:val="9"/>
              </w:numPr>
              <w:spacing w:line="276" w:lineRule="auto"/>
              <w:ind w:right="57"/>
              <w:rPr>
                <w:b/>
              </w:rPr>
            </w:pPr>
            <w:r w:rsidRPr="009A6549">
              <w:rPr>
                <w:lang w:val="de-DE"/>
              </w:rPr>
              <w:t>Das zentralnervöse cholinerge System</w:t>
            </w:r>
          </w:p>
        </w:tc>
      </w:tr>
      <w:tr w:rsidR="00B160A2" w:rsidRPr="007F5427" w:rsidTr="009A6549">
        <w:trPr>
          <w:trHeight w:hRule="exact" w:val="68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Default="00F73FC1" w:rsidP="00577F44">
            <w:pPr>
              <w:pStyle w:val="KeinLeerraum"/>
              <w:ind w:left="57" w:right="57"/>
              <w:rPr>
                <w:b/>
              </w:rPr>
            </w:pPr>
            <w:proofErr w:type="spellStart"/>
            <w:r w:rsidRPr="00F73FC1">
              <w:rPr>
                <w:b/>
              </w:rPr>
              <w:t>Lehrformen</w:t>
            </w:r>
            <w:proofErr w:type="spellEnd"/>
          </w:p>
          <w:p w:rsidR="00F73FC1" w:rsidRPr="00160B32" w:rsidRDefault="009A6549" w:rsidP="00577F44">
            <w:pPr>
              <w:pStyle w:val="KeinLeerraum"/>
              <w:ind w:left="57" w:right="57"/>
              <w:rPr>
                <w:lang w:val="de-DE"/>
              </w:rPr>
            </w:pPr>
            <w:r w:rsidRPr="009A6549">
              <w:rPr>
                <w:lang w:val="de-DE"/>
              </w:rPr>
              <w:t>Vorlesungen und Übungen</w:t>
            </w:r>
          </w:p>
        </w:tc>
      </w:tr>
      <w:tr w:rsidR="00B160A2" w:rsidRPr="00C40B99" w:rsidTr="006C4D71">
        <w:trPr>
          <w:trHeight w:hRule="exact" w:val="155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214"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F73FC1" w:rsidP="009A6549">
            <w:pPr>
              <w:pStyle w:val="KeinLeerraum"/>
              <w:ind w:left="57" w:right="57"/>
              <w:rPr>
                <w:lang w:val="de-DE"/>
              </w:rPr>
            </w:pPr>
            <w:r w:rsidRPr="00160B32">
              <w:rPr>
                <w:b/>
                <w:lang w:val="de-DE"/>
              </w:rPr>
              <w:t xml:space="preserve">Inhaltlich: </w:t>
            </w:r>
            <w:r w:rsidR="009A6549" w:rsidRPr="009A6549">
              <w:rPr>
                <w:lang w:val="de-DE"/>
              </w:rPr>
              <w:t>Erwünscht sind Grundkenntnisse der Neuroanatomie und Physiologie sowie der Besuch des Moduls M-Neuro-B13</w:t>
            </w:r>
            <w:r w:rsidR="009A6549">
              <w:rPr>
                <w:lang w:val="de-DE"/>
              </w:rPr>
              <w:t xml:space="preserve"> ‚(</w:t>
            </w:r>
            <w:proofErr w:type="spellStart"/>
            <w:r w:rsidR="009A6549">
              <w:rPr>
                <w:lang w:val="de-DE"/>
              </w:rPr>
              <w:t>Patho</w:t>
            </w:r>
            <w:proofErr w:type="spellEnd"/>
            <w:r w:rsidR="009A6549">
              <w:rPr>
                <w:lang w:val="de-DE"/>
              </w:rPr>
              <w:t>-)Biochemie und (</w:t>
            </w:r>
            <w:proofErr w:type="spellStart"/>
            <w:r w:rsidR="009A6549">
              <w:rPr>
                <w:lang w:val="de-DE"/>
              </w:rPr>
              <w:t>Patho</w:t>
            </w:r>
            <w:proofErr w:type="spellEnd"/>
            <w:r w:rsidR="009A6549">
              <w:rPr>
                <w:lang w:val="de-DE"/>
              </w:rPr>
              <w:t>-</w:t>
            </w:r>
            <w:r w:rsidR="009A6549" w:rsidRPr="009A6549">
              <w:rPr>
                <w:lang w:val="de-DE"/>
              </w:rPr>
              <w:t>)Physiologie des Nervensystems’</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2B1D4B" w:rsidTr="009A6549">
        <w:trPr>
          <w:trHeight w:hRule="exact" w:val="254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6</w:t>
            </w:r>
          </w:p>
        </w:tc>
        <w:tc>
          <w:tcPr>
            <w:tcW w:w="9214" w:type="dxa"/>
            <w:gridSpan w:val="9"/>
            <w:tcBorders>
              <w:top w:val="single" w:sz="4" w:space="0" w:color="000000"/>
              <w:left w:val="single" w:sz="4" w:space="0" w:color="000000"/>
              <w:bottom w:val="single" w:sz="4" w:space="0" w:color="000000"/>
              <w:right w:val="single" w:sz="4" w:space="0" w:color="000000"/>
            </w:tcBorders>
          </w:tcPr>
          <w:p w:rsidR="00160B32" w:rsidRPr="00CF6E6F" w:rsidRDefault="00F73FC1" w:rsidP="00577F44">
            <w:pPr>
              <w:pStyle w:val="KeinLeerraum"/>
              <w:ind w:left="57" w:right="57"/>
              <w:rPr>
                <w:b/>
                <w:lang w:val="de-DE"/>
              </w:rPr>
            </w:pPr>
            <w:r w:rsidRPr="00CF6E6F">
              <w:rPr>
                <w:b/>
                <w:lang w:val="de-DE"/>
              </w:rPr>
              <w:t>Prüfungsformen</w:t>
            </w:r>
          </w:p>
          <w:p w:rsidR="00160B32" w:rsidRPr="00160B32" w:rsidRDefault="00160B32" w:rsidP="00577F44">
            <w:pPr>
              <w:pStyle w:val="KeinLeerraum"/>
              <w:ind w:left="57" w:right="57"/>
              <w:rPr>
                <w:lang w:val="de-DE"/>
              </w:rPr>
            </w:pPr>
            <w:r w:rsidRPr="00160B32">
              <w:rPr>
                <w:b/>
                <w:lang w:val="de-DE"/>
              </w:rPr>
              <w:t xml:space="preserve">Prüfungsvorleistungen: </w:t>
            </w:r>
            <w:r w:rsidRPr="00160B32">
              <w:rPr>
                <w:lang w:val="de-DE"/>
              </w:rPr>
              <w:t>Regelmäßige Teilnahme und aktive Mitarbeit an mindestens fünf Demonstrationsversuchen</w:t>
            </w:r>
          </w:p>
          <w:p w:rsidR="009A6549" w:rsidRDefault="00160B32" w:rsidP="009A6549">
            <w:pPr>
              <w:pStyle w:val="KeinLeerraum"/>
              <w:ind w:left="57" w:right="57"/>
            </w:pPr>
            <w:proofErr w:type="spellStart"/>
            <w:r w:rsidRPr="00160B32">
              <w:rPr>
                <w:b/>
              </w:rPr>
              <w:t>Abschlussprüfung</w:t>
            </w:r>
            <w:proofErr w:type="spellEnd"/>
            <w:r w:rsidRPr="00160B32">
              <w:rPr>
                <w:b/>
              </w:rPr>
              <w:t xml:space="preserve">: </w:t>
            </w:r>
            <w:r w:rsidR="009A6549" w:rsidRPr="009A6549">
              <w:t>For the practical part of this course the students have to write a theoretical paper on a topic related to learning/memory. The structure of this paper should be as follows:</w:t>
            </w:r>
            <w:r w:rsidR="009A6549">
              <w:t xml:space="preserve"> short introduction of topic, defining a research questions, discussion of the research</w:t>
            </w:r>
          </w:p>
          <w:p w:rsidR="00160B32" w:rsidRPr="00CE26F3" w:rsidRDefault="009A6549" w:rsidP="009A6549">
            <w:pPr>
              <w:pStyle w:val="KeinLeerraum"/>
              <w:ind w:left="57" w:right="57"/>
              <w:rPr>
                <w:b/>
              </w:rPr>
            </w:pPr>
            <w:proofErr w:type="gramStart"/>
            <w:r>
              <w:t>question</w:t>
            </w:r>
            <w:proofErr w:type="gramEnd"/>
            <w:r>
              <w:t>, conclusion, reference list. The paper should be written in English</w:t>
            </w:r>
          </w:p>
        </w:tc>
      </w:tr>
      <w:tr w:rsidR="00B160A2" w:rsidRPr="00C40B99" w:rsidTr="006C4D71">
        <w:trPr>
          <w:trHeight w:hRule="exact" w:val="11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CE26F3" w:rsidRPr="00F73FC1" w:rsidRDefault="009A6549" w:rsidP="00116F5D">
            <w:pPr>
              <w:pStyle w:val="KeinLeerraum"/>
              <w:ind w:left="57" w:right="57"/>
              <w:rPr>
                <w:lang w:val="de-DE"/>
              </w:rPr>
            </w:pPr>
            <w:r w:rsidRPr="009A6549">
              <w:rPr>
                <w:lang w:val="de-DE"/>
              </w:rPr>
              <w:t>Regelmäßige Teilnahme und erfolgreiche Abfassung der Hausarbeit (s. 6).</w:t>
            </w:r>
          </w:p>
        </w:tc>
      </w:tr>
      <w:tr w:rsidR="00B160A2" w:rsidRPr="007F5427" w:rsidTr="006C4D71">
        <w:trPr>
          <w:trHeight w:hRule="exact" w:val="722"/>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9A6549" w:rsidP="00116F5D">
            <w:pPr>
              <w:pStyle w:val="KeinLeerraum"/>
              <w:ind w:left="57" w:right="57"/>
              <w:rPr>
                <w:lang w:val="de-DE"/>
              </w:rPr>
            </w:pPr>
            <w:r>
              <w:rPr>
                <w:lang w:val="de-DE"/>
              </w:rPr>
              <w:t>-</w:t>
            </w:r>
          </w:p>
        </w:tc>
      </w:tr>
      <w:tr w:rsidR="00B160A2" w:rsidRPr="00C40B99" w:rsidTr="006C4D71">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9</w:t>
            </w:r>
          </w:p>
        </w:tc>
        <w:tc>
          <w:tcPr>
            <w:tcW w:w="9214"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9A6549">
            <w:pPr>
              <w:pStyle w:val="KeinLeerraum"/>
              <w:ind w:left="57" w:right="57"/>
              <w:rPr>
                <w:lang w:val="de-DE"/>
              </w:rPr>
            </w:pPr>
            <w:r w:rsidRPr="00577F44">
              <w:rPr>
                <w:lang w:val="de-DE"/>
              </w:rPr>
              <w:t xml:space="preserve">Im Bachelorstudiengang Neurowissenschaften: </w:t>
            </w:r>
            <w:r w:rsidR="009A6549">
              <w:rPr>
                <w:lang w:val="de-DE"/>
              </w:rPr>
              <w:t>4</w:t>
            </w:r>
            <w:r w:rsidRPr="00577F44">
              <w:rPr>
                <w:lang w:val="de-DE"/>
              </w:rPr>
              <w:t xml:space="preserve"> % Gewicht an der Endnote (vgl. Anlage 1 der Prüfungsordnung)</w:t>
            </w:r>
          </w:p>
        </w:tc>
      </w:tr>
      <w:tr w:rsidR="00B160A2" w:rsidRPr="00C40B99" w:rsidTr="009A6549">
        <w:trPr>
          <w:trHeight w:hRule="exact" w:val="155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lastRenderedPageBreak/>
              <w:t>1</w:t>
            </w:r>
            <w:r w:rsidRPr="00116F5D">
              <w:rPr>
                <w:rFonts w:eastAsia="Arial Narrow" w:cs="Arial Narrow"/>
              </w:rPr>
              <w:t>0</w:t>
            </w:r>
          </w:p>
        </w:tc>
        <w:tc>
          <w:tcPr>
            <w:tcW w:w="9214" w:type="dxa"/>
            <w:gridSpan w:val="9"/>
            <w:tcBorders>
              <w:top w:val="single" w:sz="4" w:space="0" w:color="000000"/>
              <w:left w:val="single" w:sz="4" w:space="0" w:color="000000"/>
              <w:bottom w:val="single" w:sz="4" w:space="0" w:color="000000"/>
              <w:right w:val="single" w:sz="4" w:space="0" w:color="000000"/>
            </w:tcBorders>
          </w:tcPr>
          <w:p w:rsidR="00F73FC1" w:rsidRDefault="00F73FC1" w:rsidP="00321C42">
            <w:pPr>
              <w:pStyle w:val="KeinLeerraum"/>
              <w:ind w:left="57" w:right="57"/>
              <w:rPr>
                <w:b/>
                <w:lang w:val="de-DE"/>
              </w:rPr>
            </w:pPr>
            <w:r w:rsidRPr="00F73FC1">
              <w:rPr>
                <w:b/>
                <w:lang w:val="de-DE"/>
              </w:rPr>
              <w:t>Modulbeauftragte/r und hauptamtlich Lehrende</w:t>
            </w:r>
          </w:p>
          <w:p w:rsidR="009A6549" w:rsidRDefault="00F73FC1" w:rsidP="009A6549">
            <w:pPr>
              <w:pStyle w:val="KeinLeerraum"/>
              <w:ind w:left="57" w:right="57"/>
              <w:rPr>
                <w:lang w:val="de-DE"/>
              </w:rPr>
            </w:pPr>
            <w:r w:rsidRPr="00707417">
              <w:rPr>
                <w:b/>
                <w:lang w:val="de-DE"/>
              </w:rPr>
              <w:t xml:space="preserve">Modulbeauftragte/r: </w:t>
            </w:r>
            <w:r w:rsidR="009A6549" w:rsidRPr="00707417">
              <w:rPr>
                <w:lang w:val="de-DE"/>
              </w:rPr>
              <w:t xml:space="preserve">Dr. Arjan </w:t>
            </w:r>
            <w:proofErr w:type="spellStart"/>
            <w:r w:rsidR="009A6549" w:rsidRPr="00707417">
              <w:rPr>
                <w:lang w:val="de-DE"/>
              </w:rPr>
              <w:t>Blokland</w:t>
            </w:r>
            <w:proofErr w:type="spellEnd"/>
            <w:r w:rsidR="009A6549" w:rsidRPr="00707417">
              <w:rPr>
                <w:lang w:val="de-DE"/>
              </w:rPr>
              <w:t xml:space="preserve">, </w:t>
            </w:r>
            <w:proofErr w:type="spellStart"/>
            <w:r w:rsidR="009A6549" w:rsidRPr="00707417">
              <w:rPr>
                <w:lang w:val="de-DE"/>
              </w:rPr>
              <w:t>Faculty</w:t>
            </w:r>
            <w:proofErr w:type="spellEnd"/>
            <w:r w:rsidR="009A6549" w:rsidRPr="00707417">
              <w:rPr>
                <w:lang w:val="de-DE"/>
              </w:rPr>
              <w:t xml:space="preserve"> </w:t>
            </w:r>
            <w:proofErr w:type="spellStart"/>
            <w:r w:rsidR="009A6549" w:rsidRPr="00707417">
              <w:rPr>
                <w:lang w:val="de-DE"/>
              </w:rPr>
              <w:t>of</w:t>
            </w:r>
            <w:proofErr w:type="spellEnd"/>
            <w:r w:rsidR="009A6549" w:rsidRPr="00707417">
              <w:rPr>
                <w:lang w:val="de-DE"/>
              </w:rPr>
              <w:t xml:space="preserve"> </w:t>
            </w:r>
            <w:proofErr w:type="spellStart"/>
            <w:r w:rsidR="009A6549" w:rsidRPr="00707417">
              <w:rPr>
                <w:lang w:val="de-DE"/>
              </w:rPr>
              <w:t>Psychology</w:t>
            </w:r>
            <w:proofErr w:type="spellEnd"/>
            <w:r w:rsidR="009A6549" w:rsidRPr="00707417">
              <w:rPr>
                <w:lang w:val="de-DE"/>
              </w:rPr>
              <w:t xml:space="preserve"> </w:t>
            </w:r>
            <w:proofErr w:type="spellStart"/>
            <w:r w:rsidR="009A6549" w:rsidRPr="00707417">
              <w:rPr>
                <w:lang w:val="de-DE"/>
              </w:rPr>
              <w:t>and</w:t>
            </w:r>
            <w:proofErr w:type="spellEnd"/>
            <w:r w:rsidR="009A6549" w:rsidRPr="00707417">
              <w:rPr>
                <w:lang w:val="de-DE"/>
              </w:rPr>
              <w:t xml:space="preserve"> </w:t>
            </w:r>
            <w:proofErr w:type="spellStart"/>
            <w:r w:rsidR="009A6549" w:rsidRPr="00707417">
              <w:rPr>
                <w:lang w:val="de-DE"/>
              </w:rPr>
              <w:t>Neuroscience</w:t>
            </w:r>
            <w:proofErr w:type="spellEnd"/>
            <w:r w:rsidR="009A6549" w:rsidRPr="00707417">
              <w:rPr>
                <w:lang w:val="de-DE"/>
              </w:rPr>
              <w:t xml:space="preserve">, </w:t>
            </w:r>
            <w:proofErr w:type="spellStart"/>
            <w:r w:rsidR="009A6549" w:rsidRPr="00707417">
              <w:rPr>
                <w:lang w:val="de-DE"/>
              </w:rPr>
              <w:t>Section</w:t>
            </w:r>
            <w:proofErr w:type="spellEnd"/>
            <w:r w:rsidR="009A6549" w:rsidRPr="00707417">
              <w:rPr>
                <w:lang w:val="de-DE"/>
              </w:rPr>
              <w:t xml:space="preserve"> </w:t>
            </w:r>
            <w:proofErr w:type="spellStart"/>
            <w:r w:rsidR="009A6549" w:rsidRPr="00707417">
              <w:rPr>
                <w:lang w:val="de-DE"/>
              </w:rPr>
              <w:t>Neuropsychology</w:t>
            </w:r>
            <w:proofErr w:type="spellEnd"/>
            <w:r w:rsidR="009A6549" w:rsidRPr="00707417">
              <w:rPr>
                <w:lang w:val="de-DE"/>
              </w:rPr>
              <w:t xml:space="preserve"> </w:t>
            </w:r>
            <w:proofErr w:type="spellStart"/>
            <w:r w:rsidR="009A6549" w:rsidRPr="00707417">
              <w:rPr>
                <w:lang w:val="de-DE"/>
              </w:rPr>
              <w:t>and</w:t>
            </w:r>
            <w:proofErr w:type="spellEnd"/>
            <w:r w:rsidR="009A6549" w:rsidRPr="00707417">
              <w:rPr>
                <w:lang w:val="de-DE"/>
              </w:rPr>
              <w:t xml:space="preserve"> </w:t>
            </w:r>
            <w:proofErr w:type="spellStart"/>
            <w:r w:rsidR="009A6549" w:rsidRPr="00707417">
              <w:rPr>
                <w:lang w:val="de-DE"/>
              </w:rPr>
              <w:t>Psychopharmacology</w:t>
            </w:r>
            <w:proofErr w:type="spellEnd"/>
            <w:r w:rsidR="009A6549" w:rsidRPr="00707417">
              <w:rPr>
                <w:lang w:val="de-DE"/>
              </w:rPr>
              <w:t xml:space="preserve">, Maastricht University. </w:t>
            </w:r>
            <w:r w:rsidR="009A6549">
              <w:rPr>
                <w:lang w:val="de-DE"/>
              </w:rPr>
              <w:t>Tel. 0031-</w:t>
            </w:r>
            <w:r w:rsidR="009A6549" w:rsidRPr="009A6549">
              <w:rPr>
                <w:lang w:val="de-DE"/>
              </w:rPr>
              <w:t xml:space="preserve">43-3881903 </w:t>
            </w:r>
            <w:hyperlink r:id="rId6" w:history="1">
              <w:r w:rsidR="009A6549" w:rsidRPr="000850C0">
                <w:rPr>
                  <w:rStyle w:val="Hyperlink"/>
                  <w:lang w:val="de-DE"/>
                </w:rPr>
                <w:t>a.blokland@maastrichtuniversity.nl</w:t>
              </w:r>
            </w:hyperlink>
          </w:p>
          <w:p w:rsidR="00F73FC1" w:rsidRPr="00F73FC1" w:rsidRDefault="00F73FC1" w:rsidP="009A6549">
            <w:pPr>
              <w:pStyle w:val="KeinLeerraum"/>
              <w:ind w:left="57" w:right="57"/>
              <w:rPr>
                <w:lang w:val="de-DE"/>
              </w:rPr>
            </w:pPr>
            <w:r>
              <w:rPr>
                <w:b/>
                <w:lang w:val="de-DE"/>
              </w:rPr>
              <w:t>H</w:t>
            </w:r>
            <w:r w:rsidRPr="00F73FC1">
              <w:rPr>
                <w:b/>
                <w:lang w:val="de-DE"/>
              </w:rPr>
              <w:t>auptamtlich Lehrende:</w:t>
            </w:r>
            <w:r>
              <w:rPr>
                <w:lang w:val="de-DE"/>
              </w:rPr>
              <w:t xml:space="preserve"> </w:t>
            </w:r>
            <w:r w:rsidR="009A6549" w:rsidRPr="009A6549">
              <w:rPr>
                <w:lang w:val="de-DE"/>
              </w:rPr>
              <w:t xml:space="preserve">Dr. Arjan </w:t>
            </w:r>
            <w:proofErr w:type="spellStart"/>
            <w:r w:rsidR="009A6549" w:rsidRPr="009A6549">
              <w:rPr>
                <w:lang w:val="de-DE"/>
              </w:rPr>
              <w:t>Blokland</w:t>
            </w:r>
            <w:proofErr w:type="spellEnd"/>
            <w:r w:rsidR="009A6549" w:rsidRPr="009A6549">
              <w:rPr>
                <w:lang w:val="de-DE"/>
              </w:rPr>
              <w:t xml:space="preserve">, PD Dr. Franz-Josef van der </w:t>
            </w:r>
            <w:proofErr w:type="spellStart"/>
            <w:r w:rsidR="009A6549" w:rsidRPr="009A6549">
              <w:rPr>
                <w:lang w:val="de-DE"/>
              </w:rPr>
              <w:t>Staay</w:t>
            </w:r>
            <w:proofErr w:type="spellEnd"/>
          </w:p>
        </w:tc>
      </w:tr>
      <w:tr w:rsidR="00B160A2" w:rsidRPr="009A6549" w:rsidTr="009A6549">
        <w:trPr>
          <w:trHeight w:hRule="exact" w:val="1281"/>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214"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321C42"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Default="004F507A" w:rsidP="000A5760">
            <w:pPr>
              <w:spacing w:after="0" w:line="0" w:lineRule="atLeast"/>
              <w:ind w:left="57" w:right="57"/>
              <w:jc w:val="both"/>
              <w:rPr>
                <w:rFonts w:eastAsia="Arial Narrow"/>
                <w:b/>
                <w:lang w:val="de-DE"/>
              </w:rPr>
            </w:pPr>
            <w:proofErr w:type="spellStart"/>
            <w:r w:rsidRPr="000A5760">
              <w:rPr>
                <w:rFonts w:eastAsia="Arial Narrow"/>
                <w:b/>
                <w:lang w:val="de-DE"/>
              </w:rPr>
              <w:t>Literature</w:t>
            </w:r>
            <w:proofErr w:type="spellEnd"/>
            <w:r w:rsidRPr="000A5760">
              <w:rPr>
                <w:rFonts w:eastAsia="Arial Narrow"/>
                <w:b/>
                <w:lang w:val="de-DE"/>
              </w:rPr>
              <w:t>:</w:t>
            </w:r>
            <w:r w:rsidR="000A5760">
              <w:rPr>
                <w:rFonts w:eastAsia="Arial Narrow"/>
                <w:b/>
                <w:lang w:val="de-DE"/>
              </w:rPr>
              <w:t xml:space="preserve"> </w:t>
            </w:r>
          </w:p>
          <w:p w:rsidR="004F507A" w:rsidRPr="009A6549" w:rsidRDefault="009A6549" w:rsidP="009A6549">
            <w:pPr>
              <w:pStyle w:val="KeinLeerraum"/>
              <w:numPr>
                <w:ilvl w:val="0"/>
                <w:numId w:val="14"/>
              </w:numPr>
            </w:pPr>
            <w:r w:rsidRPr="009A6549">
              <w:t xml:space="preserve">Principles of Neural Science, </w:t>
            </w:r>
            <w:proofErr w:type="spellStart"/>
            <w:r w:rsidRPr="009A6549">
              <w:t>E.R.Kandel</w:t>
            </w:r>
            <w:proofErr w:type="spellEnd"/>
            <w:r w:rsidRPr="009A6549">
              <w:t xml:space="preserve">, J.H. Schwartz, T.M. </w:t>
            </w:r>
            <w:proofErr w:type="spellStart"/>
            <w:r w:rsidRPr="009A6549">
              <w:t>Jessell</w:t>
            </w:r>
            <w:proofErr w:type="spellEnd"/>
            <w:r w:rsidRPr="009A6549">
              <w:t xml:space="preserve"> (eds.)</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A5760"/>
    <w:rsid w:val="00116F5D"/>
    <w:rsid w:val="001219D7"/>
    <w:rsid w:val="00160B32"/>
    <w:rsid w:val="00210884"/>
    <w:rsid w:val="002B1D4B"/>
    <w:rsid w:val="00321C42"/>
    <w:rsid w:val="004A75FA"/>
    <w:rsid w:val="004F507A"/>
    <w:rsid w:val="00577F44"/>
    <w:rsid w:val="00646B93"/>
    <w:rsid w:val="006C4D71"/>
    <w:rsid w:val="00707417"/>
    <w:rsid w:val="007F5427"/>
    <w:rsid w:val="008837A5"/>
    <w:rsid w:val="008B2C6B"/>
    <w:rsid w:val="009A6549"/>
    <w:rsid w:val="00B160A2"/>
    <w:rsid w:val="00C175EF"/>
    <w:rsid w:val="00C3152A"/>
    <w:rsid w:val="00C40B99"/>
    <w:rsid w:val="00C61D99"/>
    <w:rsid w:val="00CE26F3"/>
    <w:rsid w:val="00CF6E6F"/>
    <w:rsid w:val="00D4372E"/>
    <w:rsid w:val="00F73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lokland@maastrichtuniversity.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Samir Delonge</cp:lastModifiedBy>
  <cp:revision>3</cp:revision>
  <dcterms:created xsi:type="dcterms:W3CDTF">2017-01-13T09:38:00Z</dcterms:created>
  <dcterms:modified xsi:type="dcterms:W3CDTF">2017-01-16T17:10:00Z</dcterms:modified>
</cp:coreProperties>
</file>