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6630AF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6630AF" w:rsidRPr="006630AF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Pharmakologie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6630AF">
              <w:rPr>
                <w:lang w:val="de-DE"/>
              </w:rPr>
              <w:t>12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r>
              <w:t>180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6630AF" w:rsidP="000212C3">
            <w:pPr>
              <w:pStyle w:val="KeinLeerraum"/>
              <w:ind w:right="57"/>
              <w:jc w:val="center"/>
            </w:pPr>
            <w:r>
              <w:t>5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6630AF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6630AF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30</w:t>
            </w:r>
            <w:r w:rsidR="00D4372E">
              <w:t>h</w:t>
            </w:r>
          </w:p>
          <w:p w:rsidR="00D4372E" w:rsidRDefault="006630AF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12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>1</w:t>
            </w:r>
            <w:r w:rsidR="006630AF">
              <w:t>38</w:t>
            </w:r>
            <w:r>
              <w:t xml:space="preserve">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6630AF">
              <w:rPr>
                <w:lang w:val="de-DE"/>
              </w:rPr>
              <w:t xml:space="preserve">Ü </w:t>
            </w:r>
            <w:r>
              <w:rPr>
                <w:lang w:val="de-DE"/>
              </w:rPr>
              <w:t>und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6630AF">
              <w:rPr>
                <w:lang w:val="de-DE"/>
              </w:rPr>
              <w:t>16</w:t>
            </w:r>
            <w:r>
              <w:rPr>
                <w:lang w:val="de-DE"/>
              </w:rPr>
              <w:t xml:space="preserve"> Studierende</w:t>
            </w:r>
          </w:p>
          <w:p w:rsidR="008B2C6B" w:rsidRP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6630AF">
              <w:rPr>
                <w:lang w:val="de-DE"/>
              </w:rPr>
              <w:t>8-10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0C0155" w:rsidTr="006630AF">
        <w:trPr>
          <w:trHeight w:hRule="exact" w:val="39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630AF" w:rsidRDefault="006630AF" w:rsidP="006630AF">
            <w:pPr>
              <w:pStyle w:val="KeinLeerraum"/>
              <w:ind w:left="57" w:right="57"/>
              <w:rPr>
                <w:lang w:val="de-DE"/>
              </w:rPr>
            </w:pPr>
            <w:r w:rsidRPr="006630AF">
              <w:rPr>
                <w:lang w:val="de-DE"/>
              </w:rPr>
              <w:t>Die Studierenden sollen die in den unter „Inhalte“ genannten Bereichen therapierelevanten Arzneistoffgruppen und ihre wichtigsten Stellvertreter nennen können. Zu diesen Arzneistoffen sollen die Studierenden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16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>den molekularen Wirkmechanismus (z.B. Rezeptorinteraktion) nennen und erklären können.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16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>anhand der Wirkmechanismen die daraus resultierenden erwünschten und unerwünschten Wirkungen erklären können.</w:t>
            </w:r>
          </w:p>
          <w:p w:rsidR="006630AF" w:rsidRDefault="006630AF" w:rsidP="006630AF">
            <w:pPr>
              <w:pStyle w:val="KeinLeerraum"/>
              <w:numPr>
                <w:ilvl w:val="0"/>
                <w:numId w:val="16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wichtige </w:t>
            </w:r>
            <w:proofErr w:type="spellStart"/>
            <w:r w:rsidRPr="006630AF">
              <w:rPr>
                <w:lang w:val="de-DE"/>
              </w:rPr>
              <w:t>pharmakokinetische</w:t>
            </w:r>
            <w:proofErr w:type="spellEnd"/>
            <w:r w:rsidRPr="006630AF">
              <w:rPr>
                <w:lang w:val="de-DE"/>
              </w:rPr>
              <w:t xml:space="preserve"> Begriffe und Eigenschaften nennen können und am Beispiel </w:t>
            </w:r>
          </w:p>
          <w:p w:rsidR="006630AF" w:rsidRDefault="006630AF" w:rsidP="006630AF">
            <w:pPr>
              <w:pStyle w:val="KeinLeerraum"/>
              <w:ind w:left="720" w:right="57"/>
              <w:rPr>
                <w:lang w:val="de-DE"/>
              </w:rPr>
            </w:pPr>
            <w:r w:rsidRPr="006630AF">
              <w:rPr>
                <w:lang w:val="de-DE"/>
              </w:rPr>
              <w:t>dieser Arzneistoffe grundsätzlich erläutern können.</w:t>
            </w:r>
          </w:p>
          <w:p w:rsidR="006630AF" w:rsidRDefault="006630AF" w:rsidP="006630AF">
            <w:pPr>
              <w:pStyle w:val="KeinLeerraum"/>
              <w:ind w:left="720" w:right="57"/>
              <w:rPr>
                <w:lang w:val="de-DE"/>
              </w:rPr>
            </w:pPr>
          </w:p>
          <w:p w:rsidR="006630AF" w:rsidRPr="006630AF" w:rsidRDefault="006630AF" w:rsidP="006630AF">
            <w:pPr>
              <w:pStyle w:val="KeinLeerraum"/>
              <w:ind w:left="57" w:right="57"/>
              <w:rPr>
                <w:lang w:val="de-DE"/>
              </w:rPr>
            </w:pPr>
            <w:r w:rsidRPr="006630AF">
              <w:rPr>
                <w:lang w:val="de-DE"/>
              </w:rPr>
              <w:t>Epidemiologisch wichtige Vergiftungen unter Beteiligung des ZNS sollen mit ihrer jeweils typischen Symptomatik beschrieben und die Grundzüge der gezielten Behandlung erläutert werden können.</w:t>
            </w:r>
          </w:p>
          <w:p w:rsidR="006630AF" w:rsidRPr="006630AF" w:rsidRDefault="006630AF" w:rsidP="006630AF">
            <w:pPr>
              <w:pStyle w:val="KeinLeerraum"/>
              <w:ind w:left="57" w:right="57"/>
              <w:rPr>
                <w:b/>
                <w:lang w:val="de-DE"/>
              </w:rPr>
            </w:pPr>
            <w:r w:rsidRPr="006630AF">
              <w:rPr>
                <w:b/>
                <w:lang w:val="de-DE"/>
              </w:rPr>
              <w:t>Methoden /Modelle</w:t>
            </w:r>
          </w:p>
          <w:p w:rsidR="006630AF" w:rsidRPr="00F73FC1" w:rsidRDefault="006630AF" w:rsidP="006630AF">
            <w:pPr>
              <w:pStyle w:val="KeinLeerraum"/>
              <w:ind w:left="57"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Vorlesung, Kleingruppenunterricht (Problem-basiertes Lernen, </w:t>
            </w:r>
            <w:proofErr w:type="spellStart"/>
            <w:r w:rsidRPr="006630AF">
              <w:rPr>
                <w:lang w:val="de-DE"/>
              </w:rPr>
              <w:t>PbL</w:t>
            </w:r>
            <w:proofErr w:type="spellEnd"/>
            <w:r w:rsidRPr="006630AF">
              <w:rPr>
                <w:lang w:val="de-DE"/>
              </w:rPr>
              <w:t>)</w:t>
            </w:r>
          </w:p>
        </w:tc>
      </w:tr>
      <w:tr w:rsidR="00B160A2" w:rsidRPr="006630AF" w:rsidTr="006630AF">
        <w:trPr>
          <w:trHeight w:hRule="exact" w:val="66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6630AF" w:rsidRPr="000C0155" w:rsidRDefault="000C0155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u w:val="single"/>
                <w:lang w:val="de-DE"/>
              </w:rPr>
            </w:pPr>
            <w:r w:rsidRPr="000C0155">
              <w:rPr>
                <w:u w:val="single"/>
                <w:lang w:val="de-DE"/>
              </w:rPr>
              <w:t>Vorlesung</w:t>
            </w:r>
            <w:r w:rsidR="006630AF" w:rsidRPr="000C0155">
              <w:rPr>
                <w:u w:val="single"/>
                <w:lang w:val="de-DE"/>
              </w:rPr>
              <w:t xml:space="preserve">: </w:t>
            </w:r>
          </w:p>
          <w:p w:rsid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6630AF">
              <w:rPr>
                <w:lang w:val="de-DE"/>
              </w:rPr>
              <w:t>Pharmakodynamische</w:t>
            </w:r>
            <w:proofErr w:type="spellEnd"/>
            <w:r w:rsidRPr="006630AF">
              <w:rPr>
                <w:lang w:val="de-DE"/>
              </w:rPr>
              <w:t xml:space="preserve"> und </w:t>
            </w:r>
            <w:proofErr w:type="spellStart"/>
            <w:r w:rsidRPr="006630AF">
              <w:rPr>
                <w:lang w:val="de-DE"/>
              </w:rPr>
              <w:t>pharmakokinetische</w:t>
            </w:r>
            <w:proofErr w:type="spellEnd"/>
            <w:r w:rsidRPr="006630AF">
              <w:rPr>
                <w:lang w:val="de-DE"/>
              </w:rPr>
              <w:t xml:space="preserve"> Grundlagen</w:t>
            </w:r>
          </w:p>
          <w:p w:rsid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 Pharmakologie des sympathischen Nervensystems </w:t>
            </w:r>
          </w:p>
          <w:p w:rsid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Pharmakologie des parasympathischen Nervensystems 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>Drogen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>Peripher und zentral wirksame Analgetika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Pharmakologie von Ionenkanälen (inkl. </w:t>
            </w:r>
            <w:proofErr w:type="spellStart"/>
            <w:r w:rsidRPr="006630AF">
              <w:rPr>
                <w:lang w:val="de-DE"/>
              </w:rPr>
              <w:t>Antiarrhythmika</w:t>
            </w:r>
            <w:proofErr w:type="spellEnd"/>
            <w:r w:rsidRPr="006630AF">
              <w:rPr>
                <w:lang w:val="de-DE"/>
              </w:rPr>
              <w:t xml:space="preserve"> und Lokalanästhetika) </w:t>
            </w:r>
          </w:p>
          <w:p w:rsid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Antidepressiva 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6630AF">
              <w:rPr>
                <w:lang w:val="de-DE"/>
              </w:rPr>
              <w:t>Antipsychotika</w:t>
            </w:r>
            <w:proofErr w:type="spellEnd"/>
            <w:r w:rsidRPr="006630AF">
              <w:rPr>
                <w:lang w:val="de-DE"/>
              </w:rPr>
              <w:t xml:space="preserve"> Hypnotika</w:t>
            </w:r>
          </w:p>
          <w:p w:rsidR="00F73FC1" w:rsidRPr="006630AF" w:rsidRDefault="006630AF" w:rsidP="006630AF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6630AF">
              <w:rPr>
                <w:lang w:val="de-DE"/>
              </w:rPr>
              <w:t>Intoxikationen mit Beteiligung des ZNS</w:t>
            </w:r>
          </w:p>
          <w:p w:rsidR="006630AF" w:rsidRPr="000C0155" w:rsidRDefault="000C0155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u w:val="single"/>
                <w:lang w:val="de-DE"/>
              </w:rPr>
            </w:pPr>
            <w:r w:rsidRPr="000C0155">
              <w:rPr>
                <w:u w:val="single"/>
                <w:lang w:val="de-DE"/>
              </w:rPr>
              <w:t>Problem-basiertes Lernen</w:t>
            </w:r>
            <w:r w:rsidR="006630AF" w:rsidRPr="000C0155">
              <w:rPr>
                <w:u w:val="single"/>
                <w:lang w:val="de-DE"/>
              </w:rPr>
              <w:t>: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 xml:space="preserve">Hier wird fallbasiert an ausgewählten Beispielen das Verständnis für </w:t>
            </w:r>
            <w:proofErr w:type="spellStart"/>
            <w:r w:rsidRPr="006630AF">
              <w:rPr>
                <w:lang w:val="de-DE"/>
              </w:rPr>
              <w:t>pharmakodynamische</w:t>
            </w:r>
            <w:proofErr w:type="spellEnd"/>
            <w:r w:rsidRPr="006630AF">
              <w:rPr>
                <w:lang w:val="de-DE"/>
              </w:rPr>
              <w:t xml:space="preserve"> und </w:t>
            </w:r>
            <w:proofErr w:type="spellStart"/>
            <w:r w:rsidRPr="006630AF">
              <w:rPr>
                <w:lang w:val="de-DE"/>
              </w:rPr>
              <w:t>pharmakokinetische</w:t>
            </w:r>
            <w:proofErr w:type="spellEnd"/>
            <w:r w:rsidRPr="006630AF">
              <w:rPr>
                <w:lang w:val="de-DE"/>
              </w:rPr>
              <w:t xml:space="preserve"> Prinzipien vertieft. Ein Schwerpunkt ist die Diskussion von Theorie und Praxis experimenteller Methoden, z.B. zur Bestimmung von Affinität u. Selektivität der Interaktion von Arzneistoff und Zielstruktur.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6630AF">
              <w:rPr>
                <w:lang w:val="de-DE"/>
              </w:rPr>
              <w:t>Pharmakodynamische</w:t>
            </w:r>
            <w:proofErr w:type="spellEnd"/>
            <w:r w:rsidRPr="006630AF">
              <w:rPr>
                <w:lang w:val="de-DE"/>
              </w:rPr>
              <w:t xml:space="preserve"> und </w:t>
            </w:r>
            <w:proofErr w:type="spellStart"/>
            <w:r w:rsidRPr="006630AF">
              <w:rPr>
                <w:lang w:val="de-DE"/>
              </w:rPr>
              <w:t>pharmakokinetische</w:t>
            </w:r>
            <w:proofErr w:type="spellEnd"/>
            <w:r w:rsidRPr="006630AF">
              <w:rPr>
                <w:lang w:val="de-DE"/>
              </w:rPr>
              <w:t xml:space="preserve"> Grundlagen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>Ionenkanäle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6630AF">
              <w:rPr>
                <w:lang w:val="de-DE"/>
              </w:rPr>
              <w:t>Ionale</w:t>
            </w:r>
            <w:proofErr w:type="spellEnd"/>
            <w:r w:rsidRPr="006630AF">
              <w:rPr>
                <w:lang w:val="de-DE"/>
              </w:rPr>
              <w:t xml:space="preserve"> Homöostase erregbarer Zellen G-Protein-gekoppelte Rezeptoren Enzymmodulation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6630AF">
              <w:rPr>
                <w:lang w:val="de-DE"/>
              </w:rPr>
              <w:t>Transporter</w:t>
            </w:r>
          </w:p>
          <w:p w:rsidR="006630AF" w:rsidRPr="006630AF" w:rsidRDefault="006630AF" w:rsidP="006630AF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6630AF">
              <w:rPr>
                <w:lang w:val="de-DE"/>
              </w:rPr>
              <w:t>Toxikologie</w:t>
            </w:r>
          </w:p>
        </w:tc>
      </w:tr>
      <w:tr w:rsidR="00B160A2" w:rsidRPr="000C0155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08019A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08019A">
              <w:rPr>
                <w:b/>
                <w:lang w:val="de-DE"/>
              </w:rPr>
              <w:t>Lehrformen</w:t>
            </w:r>
          </w:p>
          <w:p w:rsidR="00F73FC1" w:rsidRPr="00160B32" w:rsidRDefault="00302B3D" w:rsidP="00577F44">
            <w:pPr>
              <w:pStyle w:val="KeinLeerraum"/>
              <w:ind w:left="57" w:right="57"/>
              <w:rPr>
                <w:lang w:val="de-DE"/>
              </w:rPr>
            </w:pPr>
            <w:r w:rsidRPr="00302B3D">
              <w:rPr>
                <w:lang w:val="de-DE"/>
              </w:rPr>
              <w:t>Vorlesung; Kleingruppe</w:t>
            </w:r>
            <w:r w:rsidR="00EF22F9">
              <w:rPr>
                <w:lang w:val="de-DE"/>
              </w:rPr>
              <w:t>nunterricht in Form des Problem</w:t>
            </w:r>
            <w:r w:rsidRPr="00302B3D">
              <w:rPr>
                <w:lang w:val="de-DE"/>
              </w:rPr>
              <w:t>basierten Lernens (</w:t>
            </w:r>
            <w:proofErr w:type="spellStart"/>
            <w:r w:rsidRPr="00302B3D">
              <w:rPr>
                <w:lang w:val="de-DE"/>
              </w:rPr>
              <w:t>PbL</w:t>
            </w:r>
            <w:proofErr w:type="spellEnd"/>
            <w:r w:rsidRPr="00302B3D">
              <w:rPr>
                <w:lang w:val="de-DE"/>
              </w:rPr>
              <w:t>)</w:t>
            </w:r>
          </w:p>
        </w:tc>
      </w:tr>
      <w:tr w:rsidR="00B160A2" w:rsidRPr="000C0155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F73FC1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160B32" w:rsidRPr="00160B32">
              <w:rPr>
                <w:lang w:val="de-DE"/>
              </w:rPr>
              <w:t>Erwünscht sind Mathematikkenntnisse und Leistungskurse in mathematisch-naturwissenschaftlichen Fächern der gymnasialen Oberstufe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302B3D" w:rsidTr="006C4D71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Pr="00160B32">
              <w:rPr>
                <w:lang w:val="de-DE"/>
              </w:rPr>
              <w:t xml:space="preserve">Regelmäßige Teilnahme und aktive Mitarbeit an </w:t>
            </w:r>
            <w:r w:rsidR="000C0155">
              <w:rPr>
                <w:lang w:val="de-DE"/>
              </w:rPr>
              <w:t>PBL-</w:t>
            </w:r>
            <w:proofErr w:type="spellStart"/>
            <w:r w:rsidR="000C0155">
              <w:rPr>
                <w:lang w:val="de-DE"/>
              </w:rPr>
              <w:t>Termienen</w:t>
            </w:r>
            <w:proofErr w:type="spellEnd"/>
            <w:r w:rsidR="000C0155">
              <w:rPr>
                <w:lang w:val="de-DE"/>
              </w:rPr>
              <w:t xml:space="preserve"> </w:t>
            </w:r>
            <w:bookmarkStart w:id="0" w:name="_GoBack"/>
            <w:bookmarkEnd w:id="0"/>
          </w:p>
          <w:p w:rsidR="00160B32" w:rsidRPr="00302B3D" w:rsidRDefault="00160B32" w:rsidP="0008019A">
            <w:pPr>
              <w:pStyle w:val="KeinLeerraum"/>
              <w:ind w:left="57" w:right="57"/>
              <w:rPr>
                <w:b/>
                <w:lang w:val="de-DE"/>
              </w:rPr>
            </w:pPr>
            <w:r w:rsidRPr="00302B3D">
              <w:rPr>
                <w:b/>
                <w:lang w:val="de-DE"/>
              </w:rPr>
              <w:t xml:space="preserve">Abschlussprüfung: </w:t>
            </w:r>
            <w:r w:rsidR="0008019A">
              <w:rPr>
                <w:lang w:val="de-DE"/>
              </w:rPr>
              <w:t>Klausur (Dauer: 1 Stunde)</w:t>
            </w:r>
          </w:p>
        </w:tc>
      </w:tr>
      <w:tr w:rsidR="00B160A2" w:rsidRPr="000C0155" w:rsidTr="00302B3D">
        <w:trPr>
          <w:trHeight w:hRule="exact" w:val="7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302B3D" w:rsidP="00302B3D">
            <w:pPr>
              <w:pStyle w:val="KeinLeerraum"/>
              <w:ind w:left="57" w:right="57"/>
              <w:rPr>
                <w:lang w:val="de-DE"/>
              </w:rPr>
            </w:pPr>
            <w:r w:rsidRPr="00302B3D">
              <w:rPr>
                <w:lang w:val="de-DE"/>
              </w:rPr>
              <w:t>Bestandene Abschlussprüfung (= Modulprüfung) i</w:t>
            </w:r>
            <w:r>
              <w:rPr>
                <w:lang w:val="de-DE"/>
              </w:rPr>
              <w:t xml:space="preserve">m Anschluss an das Modul (s. </w:t>
            </w:r>
            <w:r w:rsidRPr="00302B3D">
              <w:rPr>
                <w:lang w:val="de-DE"/>
              </w:rPr>
              <w:t>6)</w:t>
            </w:r>
          </w:p>
        </w:tc>
      </w:tr>
      <w:tr w:rsidR="00B160A2" w:rsidRPr="006630AF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302B3D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160A2" w:rsidRPr="000C0155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302B3D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302B3D">
              <w:rPr>
                <w:lang w:val="de-DE"/>
              </w:rPr>
              <w:t>6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0C0155" w:rsidTr="006C4D71">
        <w:trPr>
          <w:trHeight w:hRule="exact" w:val="13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577F44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302B3D" w:rsidRPr="00302B3D">
              <w:rPr>
                <w:lang w:val="de-DE"/>
              </w:rPr>
              <w:t xml:space="preserve">PD Dr. Jan Matthes, Tel. </w:t>
            </w:r>
            <w:r w:rsidR="00302B3D">
              <w:rPr>
                <w:lang w:val="de-DE"/>
              </w:rPr>
              <w:t>478-</w:t>
            </w:r>
            <w:r w:rsidR="00302B3D" w:rsidRPr="00302B3D">
              <w:rPr>
                <w:lang w:val="de-DE"/>
              </w:rPr>
              <w:t xml:space="preserve">5674; </w:t>
            </w:r>
            <w:hyperlink r:id="rId6" w:history="1">
              <w:r w:rsidR="00302B3D" w:rsidRPr="00F3458B">
                <w:rPr>
                  <w:rStyle w:val="Hyperlink"/>
                  <w:lang w:val="de-DE"/>
                </w:rPr>
                <w:t>jan.matthes@uni-koeln.de</w:t>
              </w:r>
            </w:hyperlink>
            <w:r w:rsidR="00302B3D">
              <w:rPr>
                <w:lang w:val="de-DE"/>
              </w:rPr>
              <w:t xml:space="preserve"> </w:t>
            </w:r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302B3D" w:rsidRPr="00302B3D">
              <w:rPr>
                <w:lang w:val="de-DE"/>
              </w:rPr>
              <w:t xml:space="preserve">Univ.-Prof. Dr. Uwe Fuhr, Prof. Dr. Dirk </w:t>
            </w:r>
            <w:proofErr w:type="spellStart"/>
            <w:r w:rsidR="00302B3D" w:rsidRPr="00302B3D">
              <w:rPr>
                <w:lang w:val="de-DE"/>
              </w:rPr>
              <w:t>Gründemann</w:t>
            </w:r>
            <w:proofErr w:type="spellEnd"/>
            <w:r w:rsidR="00302B3D" w:rsidRPr="00302B3D">
              <w:rPr>
                <w:lang w:val="de-DE"/>
              </w:rPr>
              <w:t>, Dr. Kuno Güttler, Dr. Jan Matthes, Dr. Markus Pietsch, Dr. Martin Wiesen</w:t>
            </w:r>
          </w:p>
        </w:tc>
      </w:tr>
      <w:tr w:rsidR="00B160A2" w:rsidRPr="000C0155" w:rsidTr="006712D8">
        <w:trPr>
          <w:trHeight w:hRule="exact" w:val="127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4F507A" w:rsidRPr="000A5760" w:rsidRDefault="00302B3D" w:rsidP="00302B3D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302B3D">
              <w:rPr>
                <w:lang w:val="de-DE"/>
              </w:rPr>
              <w:t>aktuelle Lehrbücher der Pharmakologie und Toxikologie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B5"/>
    <w:multiLevelType w:val="hybridMultilevel"/>
    <w:tmpl w:val="DEE80E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8ED7815"/>
    <w:multiLevelType w:val="hybridMultilevel"/>
    <w:tmpl w:val="2C0AE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73666221"/>
    <w:multiLevelType w:val="hybridMultilevel"/>
    <w:tmpl w:val="5DAC0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8019A"/>
    <w:rsid w:val="000A5760"/>
    <w:rsid w:val="000C0155"/>
    <w:rsid w:val="00116F5D"/>
    <w:rsid w:val="001219D7"/>
    <w:rsid w:val="00160B32"/>
    <w:rsid w:val="00210884"/>
    <w:rsid w:val="002B1D4B"/>
    <w:rsid w:val="00302B3D"/>
    <w:rsid w:val="00321C42"/>
    <w:rsid w:val="004A75FA"/>
    <w:rsid w:val="004F507A"/>
    <w:rsid w:val="00577F44"/>
    <w:rsid w:val="00646B93"/>
    <w:rsid w:val="006630AF"/>
    <w:rsid w:val="006712D8"/>
    <w:rsid w:val="006A6CB7"/>
    <w:rsid w:val="006C4D71"/>
    <w:rsid w:val="008837A5"/>
    <w:rsid w:val="008B2C6B"/>
    <w:rsid w:val="00966639"/>
    <w:rsid w:val="00B160A2"/>
    <w:rsid w:val="00C175EF"/>
    <w:rsid w:val="00C3152A"/>
    <w:rsid w:val="00C61D99"/>
    <w:rsid w:val="00CE26F3"/>
    <w:rsid w:val="00CF6E6F"/>
    <w:rsid w:val="00D4372E"/>
    <w:rsid w:val="00EF22F9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matthes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4</cp:revision>
  <dcterms:created xsi:type="dcterms:W3CDTF">2017-01-13T09:32:00Z</dcterms:created>
  <dcterms:modified xsi:type="dcterms:W3CDTF">2017-01-16T17:08:00Z</dcterms:modified>
</cp:coreProperties>
</file>